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C573" w14:textId="77777777" w:rsidR="00BF69D5" w:rsidRPr="004230D4" w:rsidRDefault="00BF69D5" w:rsidP="00BF69D5">
      <w:pPr>
        <w:rPr>
          <w:rFonts w:cstheme="minorHAnsi"/>
          <w:b/>
          <w:bCs/>
          <w:sz w:val="32"/>
          <w:szCs w:val="32"/>
          <w:lang w:val="en-US"/>
        </w:rPr>
      </w:pPr>
      <w:r w:rsidRPr="004230D4">
        <w:rPr>
          <w:rFonts w:cstheme="minorHAnsi"/>
          <w:b/>
          <w:bCs/>
          <w:sz w:val="32"/>
          <w:szCs w:val="32"/>
          <w:lang w:val="en-US"/>
        </w:rPr>
        <w:t xml:space="preserve">How to </w:t>
      </w:r>
      <w:proofErr w:type="spellStart"/>
      <w:r w:rsidRPr="004230D4">
        <w:rPr>
          <w:rFonts w:cstheme="minorHAnsi"/>
          <w:b/>
          <w:bCs/>
          <w:sz w:val="32"/>
          <w:szCs w:val="32"/>
          <w:lang w:val="en-US"/>
        </w:rPr>
        <w:t>analyse</w:t>
      </w:r>
      <w:proofErr w:type="spellEnd"/>
      <w:r w:rsidRPr="004230D4">
        <w:rPr>
          <w:rFonts w:cstheme="minorHAnsi"/>
          <w:b/>
          <w:bCs/>
          <w:sz w:val="32"/>
          <w:szCs w:val="32"/>
          <w:lang w:val="en-US"/>
        </w:rPr>
        <w:t xml:space="preserve"> a podcast</w:t>
      </w:r>
    </w:p>
    <w:p w14:paraId="117E8773" w14:textId="77777777" w:rsidR="00BF69D5" w:rsidRPr="000737F8" w:rsidRDefault="00BF69D5" w:rsidP="00BF69D5">
      <w:pPr>
        <w:spacing w:line="276" w:lineRule="auto"/>
        <w:rPr>
          <w:b/>
          <w:bCs/>
          <w:lang w:val="en-GB"/>
        </w:rPr>
      </w:pPr>
      <w:r w:rsidRPr="004C0EDF">
        <w:rPr>
          <w:b/>
          <w:bCs/>
          <w:lang w:val="en-GB"/>
        </w:rPr>
        <w:t xml:space="preserve">NOISY SCOOTERS AND GHOSTS IN </w:t>
      </w:r>
      <w:r w:rsidRPr="004C0EDF">
        <w:rPr>
          <w:b/>
          <w:bCs/>
          <w:i/>
          <w:iCs/>
          <w:lang w:val="en-GB"/>
        </w:rPr>
        <w:t>THE BATTERSEA POLTERGEIST</w:t>
      </w:r>
      <w:r>
        <w:rPr>
          <w:b/>
          <w:bCs/>
          <w:lang w:val="en-GB"/>
        </w:rPr>
        <w:t>, p. 43</w:t>
      </w:r>
    </w:p>
    <w:p w14:paraId="3E1F02DF" w14:textId="77777777" w:rsidR="00BF69D5" w:rsidRDefault="00BF69D5" w:rsidP="00BF69D5">
      <w:pPr>
        <w:spacing w:line="276" w:lineRule="auto"/>
        <w:rPr>
          <w:lang w:val="en-GB"/>
        </w:rPr>
      </w:pPr>
      <w:r w:rsidRPr="004C0EDF">
        <w:rPr>
          <w:lang w:val="en-GB"/>
        </w:rPr>
        <w:t xml:space="preserve">The producer of </w:t>
      </w:r>
      <w:r w:rsidRPr="004C0EDF">
        <w:rPr>
          <w:i/>
          <w:iCs/>
          <w:lang w:val="en-GB"/>
        </w:rPr>
        <w:t xml:space="preserve">The Battersea Poltergeist </w:t>
      </w:r>
      <w:r w:rsidRPr="004C0EDF">
        <w:rPr>
          <w:lang w:val="en-GB"/>
        </w:rPr>
        <w:t xml:space="preserve">uses </w:t>
      </w:r>
      <w:r>
        <w:rPr>
          <w:lang w:val="en-GB"/>
        </w:rPr>
        <w:t xml:space="preserve">different kinds of </w:t>
      </w:r>
      <w:r w:rsidRPr="004C0EDF">
        <w:rPr>
          <w:lang w:val="en-GB"/>
        </w:rPr>
        <w:t>sounds in the documentary segments and drama segments</w:t>
      </w:r>
      <w:r>
        <w:rPr>
          <w:lang w:val="en-GB"/>
        </w:rPr>
        <w:t xml:space="preserve"> – and obviously for different purposes.</w:t>
      </w:r>
    </w:p>
    <w:p w14:paraId="46BDF26A" w14:textId="77777777" w:rsidR="00BF69D5" w:rsidRDefault="00BF69D5" w:rsidP="00BF69D5">
      <w:pPr>
        <w:pStyle w:val="Listeafsnit"/>
        <w:numPr>
          <w:ilvl w:val="0"/>
          <w:numId w:val="1"/>
        </w:numPr>
        <w:spacing w:line="276" w:lineRule="auto"/>
        <w:rPr>
          <w:lang w:val="en-GB"/>
        </w:rPr>
      </w:pPr>
      <w:r>
        <w:rPr>
          <w:lang w:val="en-GB"/>
        </w:rPr>
        <w:t>On your own, listen to the two scenes in ep. 1 as indicated in the worksheet below. Remember to take notes while listening. You may want to start and stop the podcast or listen to the scenes several times in order to fill out the boxes.</w:t>
      </w:r>
    </w:p>
    <w:p w14:paraId="00099857" w14:textId="77777777" w:rsidR="00BF69D5" w:rsidRDefault="00BF69D5" w:rsidP="00BF69D5">
      <w:pPr>
        <w:pStyle w:val="Listeafsnit"/>
        <w:numPr>
          <w:ilvl w:val="0"/>
          <w:numId w:val="1"/>
        </w:numPr>
        <w:spacing w:line="276" w:lineRule="auto"/>
        <w:rPr>
          <w:lang w:val="en-GB"/>
        </w:rPr>
      </w:pPr>
      <w:r>
        <w:rPr>
          <w:lang w:val="en-GB"/>
        </w:rPr>
        <w:t>Afterwards, in class, compare and contrast the use of the various sounds in the two scenes. What’s their purpose? How do they help tell the supernatural story? How do they help us empathise with the people in the podcast?</w:t>
      </w:r>
    </w:p>
    <w:p w14:paraId="0B25EE31" w14:textId="77777777" w:rsidR="00BF69D5" w:rsidRDefault="00BF69D5" w:rsidP="00BF69D5">
      <w:pPr>
        <w:spacing w:line="276" w:lineRule="auto"/>
        <w:rPr>
          <w:lang w:val="en-GB"/>
        </w:rPr>
      </w:pPr>
    </w:p>
    <w:tbl>
      <w:tblPr>
        <w:tblStyle w:val="Tabel-Gitter"/>
        <w:tblW w:w="0" w:type="auto"/>
        <w:tblLook w:val="04A0" w:firstRow="1" w:lastRow="0" w:firstColumn="1" w:lastColumn="0" w:noHBand="0" w:noVBand="1"/>
      </w:tblPr>
      <w:tblGrid>
        <w:gridCol w:w="1586"/>
        <w:gridCol w:w="3905"/>
        <w:gridCol w:w="3905"/>
      </w:tblGrid>
      <w:tr w:rsidR="00BF69D5" w14:paraId="44DF9C80" w14:textId="77777777" w:rsidTr="00AB190A">
        <w:tc>
          <w:tcPr>
            <w:tcW w:w="1586" w:type="dxa"/>
            <w:shd w:val="clear" w:color="auto" w:fill="FFE599" w:themeFill="accent4" w:themeFillTint="66"/>
          </w:tcPr>
          <w:p w14:paraId="492F8433" w14:textId="77777777" w:rsidR="00BF69D5" w:rsidRDefault="00BF69D5" w:rsidP="00AB190A">
            <w:pPr>
              <w:spacing w:line="276" w:lineRule="auto"/>
              <w:rPr>
                <w:lang w:val="en-GB"/>
              </w:rPr>
            </w:pPr>
          </w:p>
        </w:tc>
        <w:tc>
          <w:tcPr>
            <w:tcW w:w="3905" w:type="dxa"/>
            <w:shd w:val="clear" w:color="auto" w:fill="FFE599" w:themeFill="accent4" w:themeFillTint="66"/>
          </w:tcPr>
          <w:p w14:paraId="3EEF7B14" w14:textId="77777777" w:rsidR="00BF69D5" w:rsidRPr="006C6F61" w:rsidRDefault="00BF69D5" w:rsidP="00AB190A">
            <w:pPr>
              <w:spacing w:line="276" w:lineRule="auto"/>
              <w:jc w:val="center"/>
              <w:rPr>
                <w:b/>
                <w:bCs/>
                <w:lang w:val="en-GB"/>
              </w:rPr>
            </w:pPr>
            <w:r>
              <w:rPr>
                <w:b/>
                <w:bCs/>
                <w:lang w:val="en-GB"/>
              </w:rPr>
              <w:t>Scene no. 1 (5:10-7:08 minutes)</w:t>
            </w:r>
          </w:p>
        </w:tc>
        <w:tc>
          <w:tcPr>
            <w:tcW w:w="3905" w:type="dxa"/>
            <w:shd w:val="clear" w:color="auto" w:fill="FFE599" w:themeFill="accent4" w:themeFillTint="66"/>
          </w:tcPr>
          <w:p w14:paraId="04517AC5" w14:textId="77777777" w:rsidR="00BF69D5" w:rsidRPr="006C6F61" w:rsidRDefault="00BF69D5" w:rsidP="00AB190A">
            <w:pPr>
              <w:spacing w:line="276" w:lineRule="auto"/>
              <w:jc w:val="center"/>
              <w:rPr>
                <w:b/>
                <w:bCs/>
                <w:lang w:val="en-GB"/>
              </w:rPr>
            </w:pPr>
            <w:r>
              <w:rPr>
                <w:b/>
                <w:bCs/>
                <w:lang w:val="en-GB"/>
              </w:rPr>
              <w:t>Scene no. 2 (15:36-16:53 minutes)</w:t>
            </w:r>
          </w:p>
        </w:tc>
      </w:tr>
      <w:tr w:rsidR="00BF69D5" w14:paraId="430A44A8" w14:textId="77777777" w:rsidTr="00AB190A">
        <w:trPr>
          <w:trHeight w:val="1069"/>
        </w:trPr>
        <w:tc>
          <w:tcPr>
            <w:tcW w:w="1586" w:type="dxa"/>
            <w:shd w:val="clear" w:color="auto" w:fill="FFE599" w:themeFill="accent4" w:themeFillTint="66"/>
            <w:vAlign w:val="center"/>
          </w:tcPr>
          <w:p w14:paraId="5183B889" w14:textId="77777777" w:rsidR="00BF69D5" w:rsidRPr="006C6F61" w:rsidRDefault="00BF69D5" w:rsidP="00AB190A">
            <w:pPr>
              <w:spacing w:line="276" w:lineRule="auto"/>
              <w:rPr>
                <w:b/>
                <w:bCs/>
                <w:lang w:val="en-GB"/>
              </w:rPr>
            </w:pPr>
            <w:r w:rsidRPr="006C6F61">
              <w:rPr>
                <w:b/>
                <w:bCs/>
                <w:lang w:val="en-GB"/>
              </w:rPr>
              <w:t>Diegetic</w:t>
            </w:r>
          </w:p>
        </w:tc>
        <w:tc>
          <w:tcPr>
            <w:tcW w:w="3905" w:type="dxa"/>
            <w:shd w:val="clear" w:color="auto" w:fill="FFFFFF" w:themeFill="background1"/>
            <w:vAlign w:val="center"/>
          </w:tcPr>
          <w:p w14:paraId="454B3809" w14:textId="77777777" w:rsidR="00BF69D5" w:rsidRDefault="00BF69D5" w:rsidP="00AB190A">
            <w:pPr>
              <w:spacing w:line="276" w:lineRule="auto"/>
              <w:rPr>
                <w:lang w:val="en-GB"/>
              </w:rPr>
            </w:pPr>
          </w:p>
        </w:tc>
        <w:tc>
          <w:tcPr>
            <w:tcW w:w="3905" w:type="dxa"/>
            <w:shd w:val="clear" w:color="auto" w:fill="FFFFFF" w:themeFill="background1"/>
            <w:vAlign w:val="center"/>
          </w:tcPr>
          <w:p w14:paraId="71B18A0F" w14:textId="77777777" w:rsidR="00BF69D5" w:rsidRDefault="00BF69D5" w:rsidP="00AB190A">
            <w:pPr>
              <w:spacing w:line="276" w:lineRule="auto"/>
              <w:rPr>
                <w:lang w:val="en-GB"/>
              </w:rPr>
            </w:pPr>
          </w:p>
        </w:tc>
      </w:tr>
      <w:tr w:rsidR="00BF69D5" w14:paraId="345864FB" w14:textId="77777777" w:rsidTr="00AB190A">
        <w:trPr>
          <w:trHeight w:val="1069"/>
        </w:trPr>
        <w:tc>
          <w:tcPr>
            <w:tcW w:w="1586" w:type="dxa"/>
            <w:shd w:val="clear" w:color="auto" w:fill="FFE599" w:themeFill="accent4" w:themeFillTint="66"/>
            <w:vAlign w:val="center"/>
          </w:tcPr>
          <w:p w14:paraId="7BF8A763" w14:textId="77777777" w:rsidR="00BF69D5" w:rsidRPr="006C6F61" w:rsidRDefault="00BF69D5" w:rsidP="00AB190A">
            <w:pPr>
              <w:spacing w:line="276" w:lineRule="auto"/>
              <w:rPr>
                <w:b/>
                <w:bCs/>
                <w:lang w:val="en-GB"/>
              </w:rPr>
            </w:pPr>
            <w:r>
              <w:rPr>
                <w:b/>
                <w:bCs/>
                <w:lang w:val="en-GB"/>
              </w:rPr>
              <w:t>Non-diegetic</w:t>
            </w:r>
          </w:p>
        </w:tc>
        <w:tc>
          <w:tcPr>
            <w:tcW w:w="3905" w:type="dxa"/>
            <w:shd w:val="clear" w:color="auto" w:fill="FFFFFF" w:themeFill="background1"/>
            <w:vAlign w:val="center"/>
          </w:tcPr>
          <w:p w14:paraId="0D3A7050" w14:textId="77777777" w:rsidR="00BF69D5" w:rsidRDefault="00BF69D5" w:rsidP="00AB190A">
            <w:pPr>
              <w:spacing w:line="276" w:lineRule="auto"/>
              <w:rPr>
                <w:lang w:val="en-GB"/>
              </w:rPr>
            </w:pPr>
          </w:p>
        </w:tc>
        <w:tc>
          <w:tcPr>
            <w:tcW w:w="3905" w:type="dxa"/>
            <w:shd w:val="clear" w:color="auto" w:fill="FFFFFF" w:themeFill="background1"/>
            <w:vAlign w:val="center"/>
          </w:tcPr>
          <w:p w14:paraId="15F35D8B" w14:textId="77777777" w:rsidR="00BF69D5" w:rsidRDefault="00BF69D5" w:rsidP="00AB190A">
            <w:pPr>
              <w:spacing w:line="276" w:lineRule="auto"/>
              <w:rPr>
                <w:lang w:val="en-GB"/>
              </w:rPr>
            </w:pPr>
          </w:p>
        </w:tc>
      </w:tr>
      <w:tr w:rsidR="00BF69D5" w14:paraId="42633894" w14:textId="77777777" w:rsidTr="00AB190A">
        <w:trPr>
          <w:trHeight w:val="1069"/>
        </w:trPr>
        <w:tc>
          <w:tcPr>
            <w:tcW w:w="1586" w:type="dxa"/>
            <w:shd w:val="clear" w:color="auto" w:fill="FFE599" w:themeFill="accent4" w:themeFillTint="66"/>
            <w:vAlign w:val="center"/>
          </w:tcPr>
          <w:p w14:paraId="3E26AF99" w14:textId="77777777" w:rsidR="00BF69D5" w:rsidRPr="006C6F61" w:rsidRDefault="00BF69D5" w:rsidP="00AB190A">
            <w:pPr>
              <w:spacing w:line="276" w:lineRule="auto"/>
              <w:rPr>
                <w:b/>
                <w:bCs/>
                <w:lang w:val="en-GB"/>
              </w:rPr>
            </w:pPr>
            <w:r>
              <w:rPr>
                <w:b/>
                <w:bCs/>
                <w:lang w:val="en-GB"/>
              </w:rPr>
              <w:t>Authenticity</w:t>
            </w:r>
          </w:p>
        </w:tc>
        <w:tc>
          <w:tcPr>
            <w:tcW w:w="3905" w:type="dxa"/>
            <w:shd w:val="clear" w:color="auto" w:fill="FFFFFF" w:themeFill="background1"/>
            <w:vAlign w:val="center"/>
          </w:tcPr>
          <w:p w14:paraId="6D2B662F" w14:textId="77777777" w:rsidR="00BF69D5" w:rsidRDefault="00BF69D5" w:rsidP="00AB190A">
            <w:pPr>
              <w:spacing w:line="276" w:lineRule="auto"/>
              <w:rPr>
                <w:lang w:val="en-GB"/>
              </w:rPr>
            </w:pPr>
          </w:p>
        </w:tc>
        <w:tc>
          <w:tcPr>
            <w:tcW w:w="3905" w:type="dxa"/>
            <w:shd w:val="clear" w:color="auto" w:fill="FFFFFF" w:themeFill="background1"/>
            <w:vAlign w:val="center"/>
          </w:tcPr>
          <w:p w14:paraId="34FBFE9A" w14:textId="77777777" w:rsidR="00BF69D5" w:rsidRDefault="00BF69D5" w:rsidP="00AB190A">
            <w:pPr>
              <w:spacing w:line="276" w:lineRule="auto"/>
              <w:rPr>
                <w:lang w:val="en-GB"/>
              </w:rPr>
            </w:pPr>
          </w:p>
        </w:tc>
      </w:tr>
      <w:tr w:rsidR="00BF69D5" w14:paraId="1B002C49" w14:textId="77777777" w:rsidTr="00AB190A">
        <w:trPr>
          <w:trHeight w:val="1069"/>
        </w:trPr>
        <w:tc>
          <w:tcPr>
            <w:tcW w:w="1586" w:type="dxa"/>
            <w:shd w:val="clear" w:color="auto" w:fill="FFE599" w:themeFill="accent4" w:themeFillTint="66"/>
            <w:vAlign w:val="center"/>
          </w:tcPr>
          <w:p w14:paraId="737E6F69" w14:textId="77777777" w:rsidR="00BF69D5" w:rsidRPr="006C6F61" w:rsidRDefault="00BF69D5" w:rsidP="00AB190A">
            <w:pPr>
              <w:spacing w:line="276" w:lineRule="auto"/>
              <w:rPr>
                <w:b/>
                <w:bCs/>
                <w:lang w:val="en-GB"/>
              </w:rPr>
            </w:pPr>
            <w:r w:rsidRPr="006C6F61">
              <w:rPr>
                <w:b/>
                <w:bCs/>
                <w:lang w:val="en-GB"/>
              </w:rPr>
              <w:t>Mood</w:t>
            </w:r>
          </w:p>
        </w:tc>
        <w:tc>
          <w:tcPr>
            <w:tcW w:w="3905" w:type="dxa"/>
            <w:shd w:val="clear" w:color="auto" w:fill="FFFFFF" w:themeFill="background1"/>
            <w:vAlign w:val="center"/>
          </w:tcPr>
          <w:p w14:paraId="548513B1" w14:textId="77777777" w:rsidR="00BF69D5" w:rsidRDefault="00BF69D5" w:rsidP="00AB190A">
            <w:pPr>
              <w:spacing w:line="276" w:lineRule="auto"/>
              <w:rPr>
                <w:lang w:val="en-GB"/>
              </w:rPr>
            </w:pPr>
          </w:p>
        </w:tc>
        <w:tc>
          <w:tcPr>
            <w:tcW w:w="3905" w:type="dxa"/>
            <w:shd w:val="clear" w:color="auto" w:fill="FFFFFF" w:themeFill="background1"/>
            <w:vAlign w:val="center"/>
          </w:tcPr>
          <w:p w14:paraId="10515395" w14:textId="77777777" w:rsidR="00BF69D5" w:rsidRDefault="00BF69D5" w:rsidP="00AB190A">
            <w:pPr>
              <w:spacing w:line="276" w:lineRule="auto"/>
              <w:rPr>
                <w:lang w:val="en-GB"/>
              </w:rPr>
            </w:pPr>
          </w:p>
        </w:tc>
      </w:tr>
    </w:tbl>
    <w:p w14:paraId="70AFA5FD" w14:textId="77777777" w:rsidR="00BF69D5" w:rsidRPr="008F411F" w:rsidRDefault="00BF69D5" w:rsidP="00BF69D5">
      <w:pPr>
        <w:spacing w:line="276" w:lineRule="auto"/>
        <w:rPr>
          <w:lang w:val="en-GB"/>
        </w:rPr>
      </w:pPr>
    </w:p>
    <w:p w14:paraId="1D7FC0F7" w14:textId="77777777" w:rsidR="00BF69D5" w:rsidRPr="000737F8" w:rsidRDefault="00BF69D5" w:rsidP="00BF69D5">
      <w:pPr>
        <w:rPr>
          <w:rFonts w:cstheme="minorHAnsi"/>
          <w:b/>
          <w:bCs/>
          <w:lang w:val="en-GB"/>
        </w:rPr>
      </w:pPr>
    </w:p>
    <w:p w14:paraId="491A867E" w14:textId="77777777" w:rsidR="00BF69D5" w:rsidRDefault="00BF69D5" w:rsidP="00BF69D5">
      <w:pPr>
        <w:jc w:val="both"/>
        <w:rPr>
          <w:rFonts w:cstheme="minorHAnsi"/>
          <w:b/>
          <w:bCs/>
          <w:lang w:val="en-US"/>
        </w:rPr>
      </w:pPr>
    </w:p>
    <w:p w14:paraId="34B4FD77" w14:textId="5CFB0D03" w:rsidR="00BF69D5" w:rsidRPr="000737F8" w:rsidRDefault="00BF69D5" w:rsidP="00780B66">
      <w:pPr>
        <w:rPr>
          <w:rFonts w:cstheme="minorHAnsi"/>
          <w:b/>
          <w:bCs/>
          <w:lang w:val="en-US"/>
        </w:rPr>
      </w:pPr>
    </w:p>
    <w:p w14:paraId="587A6830" w14:textId="77777777" w:rsidR="00E27F0D" w:rsidRPr="00E408D6" w:rsidRDefault="00000000">
      <w:pPr>
        <w:rPr>
          <w:lang w:val="en-US"/>
        </w:rPr>
      </w:pPr>
    </w:p>
    <w:sectPr w:rsidR="00E27F0D" w:rsidRPr="00E408D6">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84D1" w14:textId="77777777" w:rsidR="00B078CB" w:rsidRDefault="00B078CB">
      <w:pPr>
        <w:spacing w:after="0" w:line="240" w:lineRule="auto"/>
      </w:pPr>
      <w:r>
        <w:separator/>
      </w:r>
    </w:p>
  </w:endnote>
  <w:endnote w:type="continuationSeparator" w:id="0">
    <w:p w14:paraId="1ACE1080" w14:textId="77777777" w:rsidR="00B078CB" w:rsidRDefault="00B0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C4B0" w14:textId="77777777" w:rsidR="008F7A18" w:rsidRPr="008F7A18" w:rsidRDefault="00000000" w:rsidP="008F7A18">
    <w:pPr>
      <w:pStyle w:val="Sidefod"/>
      <w:rPr>
        <w:lang w:val="en-US"/>
      </w:rPr>
    </w:pPr>
    <w:r w:rsidRPr="008F7A18">
      <w:rPr>
        <w:lang w:val="en-US"/>
      </w:rPr>
      <w:t xml:space="preserve">Listen! Podcasts in English </w:t>
    </w:r>
    <w:r w:rsidRPr="008F7A18">
      <w:rPr>
        <w:rFonts w:cstheme="minorHAnsi"/>
        <w:lang w:val="en-US"/>
      </w:rPr>
      <w:t>©</w:t>
    </w:r>
    <w:r w:rsidRPr="008F7A18">
      <w:rPr>
        <w:lang w:val="en-US"/>
      </w:rPr>
      <w:t xml:space="preserve">FORLAGET COLUMBUS. </w:t>
    </w:r>
  </w:p>
  <w:p w14:paraId="7D4392F0" w14:textId="77777777" w:rsidR="008F7A18" w:rsidRDefault="00000000" w:rsidP="008F7A18">
    <w:pPr>
      <w:pStyle w:val="Sidefod"/>
    </w:pPr>
    <w:r>
      <w:t>MÅ DOWNLOADES/PRINTES/KOPIERES I HENHOLD TIL GÆLDENDE COPYDAN-AFTALE.</w:t>
    </w:r>
  </w:p>
  <w:p w14:paraId="2468FCE5" w14:textId="77777777" w:rsidR="008F7A18" w:rsidRDefault="000000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4BD0" w14:textId="77777777" w:rsidR="00B078CB" w:rsidRDefault="00B078CB">
      <w:pPr>
        <w:spacing w:after="0" w:line="240" w:lineRule="auto"/>
      </w:pPr>
      <w:r>
        <w:separator/>
      </w:r>
    </w:p>
  </w:footnote>
  <w:footnote w:type="continuationSeparator" w:id="0">
    <w:p w14:paraId="783CF831" w14:textId="77777777" w:rsidR="00B078CB" w:rsidRDefault="00B07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DCFB" w14:textId="77777777" w:rsidR="008F7A18" w:rsidRDefault="00000000">
    <w:pPr>
      <w:pStyle w:val="Sidehoved"/>
    </w:pPr>
    <w:r>
      <w:rPr>
        <w:rFonts w:cstheme="minorHAnsi"/>
        <w:b/>
        <w:bCs/>
        <w:i/>
        <w:iCs/>
        <w:noProof/>
        <w:lang w:val="en-US"/>
      </w:rPr>
      <w:drawing>
        <wp:inline distT="0" distB="0" distL="0" distR="0" wp14:anchorId="176B86D3" wp14:editId="13200048">
          <wp:extent cx="6120130" cy="899160"/>
          <wp:effectExtent l="0" t="0" r="0" b="0"/>
          <wp:docPr id="152017232" name="Billede 15201723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236B"/>
    <w:multiLevelType w:val="hybridMultilevel"/>
    <w:tmpl w:val="11B23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6B5257"/>
    <w:multiLevelType w:val="hybridMultilevel"/>
    <w:tmpl w:val="AF3E81B8"/>
    <w:lvl w:ilvl="0" w:tplc="9724D5AC">
      <w:numFmt w:val="bullet"/>
      <w:lvlText w:val=""/>
      <w:lvlJc w:val="left"/>
      <w:pPr>
        <w:ind w:left="927" w:hanging="360"/>
      </w:pPr>
      <w:rPr>
        <w:rFonts w:ascii="Symbol" w:eastAsiaTheme="minorHAnsi" w:hAnsi="Symbol" w:cstheme="minorBidi"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16cid:durableId="1303778360">
    <w:abstractNumId w:val="1"/>
  </w:num>
  <w:num w:numId="2" w16cid:durableId="167256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D5"/>
    <w:rsid w:val="00037FCF"/>
    <w:rsid w:val="00060BC9"/>
    <w:rsid w:val="00081E8B"/>
    <w:rsid w:val="000B1C8E"/>
    <w:rsid w:val="000F24DD"/>
    <w:rsid w:val="00134281"/>
    <w:rsid w:val="001C4224"/>
    <w:rsid w:val="004338D5"/>
    <w:rsid w:val="004D4DCD"/>
    <w:rsid w:val="00571838"/>
    <w:rsid w:val="0065624B"/>
    <w:rsid w:val="00754AEE"/>
    <w:rsid w:val="00780B66"/>
    <w:rsid w:val="00995998"/>
    <w:rsid w:val="00B078CB"/>
    <w:rsid w:val="00BC37DF"/>
    <w:rsid w:val="00BF69D5"/>
    <w:rsid w:val="00C80D0F"/>
    <w:rsid w:val="00D33BF9"/>
    <w:rsid w:val="00D5604B"/>
    <w:rsid w:val="00D724F0"/>
    <w:rsid w:val="00DB40EA"/>
    <w:rsid w:val="00E408D6"/>
    <w:rsid w:val="00F5668D"/>
    <w:rsid w:val="00FD7B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4E3D"/>
  <w15:chartTrackingRefBased/>
  <w15:docId w15:val="{861E108E-0FD6-499E-B99C-503BD1DC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D5"/>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69D5"/>
    <w:pPr>
      <w:spacing w:after="0" w:line="240" w:lineRule="auto"/>
      <w:ind w:left="720"/>
      <w:contextualSpacing/>
    </w:pPr>
    <w:rPr>
      <w:sz w:val="24"/>
      <w:szCs w:val="24"/>
    </w:rPr>
  </w:style>
  <w:style w:type="table" w:styleId="Tabel-Gitter">
    <w:name w:val="Table Grid"/>
    <w:basedOn w:val="Tabel-Normal"/>
    <w:uiPriority w:val="39"/>
    <w:rsid w:val="00BF69D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F69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69D5"/>
    <w:rPr>
      <w:kern w:val="0"/>
      <w14:ligatures w14:val="none"/>
    </w:rPr>
  </w:style>
  <w:style w:type="paragraph" w:styleId="Sidefod">
    <w:name w:val="footer"/>
    <w:basedOn w:val="Normal"/>
    <w:link w:val="SidefodTegn"/>
    <w:uiPriority w:val="99"/>
    <w:unhideWhenUsed/>
    <w:rsid w:val="00BF69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69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715</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Cohen</dc:creator>
  <cp:keywords/>
  <dc:description/>
  <cp:lastModifiedBy>Frederik Sølvsten</cp:lastModifiedBy>
  <cp:revision>3</cp:revision>
  <dcterms:created xsi:type="dcterms:W3CDTF">2023-04-14T11:59:00Z</dcterms:created>
  <dcterms:modified xsi:type="dcterms:W3CDTF">2023-04-14T11:59:00Z</dcterms:modified>
</cp:coreProperties>
</file>