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0AD62896" w14:textId="31702230" w:rsidR="00A42BED" w:rsidRPr="00A42BED" w:rsidRDefault="00A42BED" w:rsidP="00EB2F7C">
      <w:pPr>
        <w:pStyle w:val="Heading4"/>
        <w:rPr>
          <w:rFonts w:ascii="Arial" w:hAnsi="Arial" w:cs="Arial"/>
          <w:b/>
          <w:sz w:val="32"/>
          <w:szCs w:val="28"/>
          <w:lang w:val="en-US"/>
        </w:rPr>
      </w:pPr>
      <w:r w:rsidRPr="00A42BED">
        <w:rPr>
          <w:rFonts w:ascii="Arial" w:hAnsi="Arial" w:cs="Arial"/>
          <w:b/>
          <w:sz w:val="32"/>
          <w:szCs w:val="28"/>
          <w:lang w:val="en-US"/>
        </w:rPr>
        <w:t xml:space="preserve">What is </w:t>
      </w:r>
      <w:proofErr w:type="spellStart"/>
      <w:r w:rsidRPr="00A42BED">
        <w:rPr>
          <w:rFonts w:ascii="Arial" w:hAnsi="Arial" w:cs="Arial"/>
          <w:b/>
          <w:sz w:val="32"/>
          <w:szCs w:val="28"/>
          <w:lang w:val="en-US"/>
        </w:rPr>
        <w:t>Bre</w:t>
      </w:r>
      <w:r w:rsidR="00F24A22">
        <w:rPr>
          <w:rFonts w:ascii="Arial" w:hAnsi="Arial" w:cs="Arial"/>
          <w:b/>
          <w:sz w:val="32"/>
          <w:szCs w:val="28"/>
          <w:lang w:val="en-US"/>
        </w:rPr>
        <w:t>x</w:t>
      </w:r>
      <w:r w:rsidR="00ED17BA">
        <w:rPr>
          <w:rFonts w:ascii="Arial" w:hAnsi="Arial" w:cs="Arial"/>
          <w:b/>
          <w:sz w:val="32"/>
          <w:szCs w:val="28"/>
          <w:lang w:val="en-US"/>
        </w:rPr>
        <w:t>L</w:t>
      </w:r>
      <w:r w:rsidRPr="00A42BED">
        <w:rPr>
          <w:rFonts w:ascii="Arial" w:hAnsi="Arial" w:cs="Arial"/>
          <w:b/>
          <w:sz w:val="32"/>
          <w:szCs w:val="28"/>
          <w:lang w:val="en-US"/>
        </w:rPr>
        <w:t>it</w:t>
      </w:r>
      <w:proofErr w:type="spellEnd"/>
      <w:r w:rsidR="00EE167E">
        <w:rPr>
          <w:rFonts w:ascii="Arial" w:hAnsi="Arial" w:cs="Arial"/>
          <w:b/>
          <w:sz w:val="32"/>
          <w:szCs w:val="28"/>
          <w:lang w:val="en-US"/>
        </w:rPr>
        <w:t>?</w:t>
      </w:r>
    </w:p>
    <w:p w14:paraId="64DDAE44" w14:textId="071746B7" w:rsidR="00C33D61" w:rsidRDefault="00ED17BA" w:rsidP="00EB2F7C">
      <w:pPr>
        <w:pStyle w:val="Heading4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T</w:t>
      </w:r>
      <w:r w:rsidRPr="00ED17BA">
        <w:rPr>
          <w:rFonts w:ascii="Arial" w:hAnsi="Arial" w:cs="Arial"/>
          <w:b/>
          <w:sz w:val="28"/>
          <w:szCs w:val="28"/>
          <w:lang w:val="en-US"/>
        </w:rPr>
        <w:t>rue-or-false quiz</w:t>
      </w:r>
    </w:p>
    <w:p w14:paraId="532BF59E" w14:textId="587A8491" w:rsidR="00C33D61" w:rsidRDefault="00C33D61">
      <w:pPr>
        <w:rPr>
          <w:rFonts w:ascii="Arial" w:eastAsiaTheme="majorEastAsia" w:hAnsi="Arial" w:cs="Arial"/>
          <w:sz w:val="22"/>
          <w:szCs w:val="22"/>
          <w:lang w:eastAsia="en-US"/>
        </w:rPr>
      </w:pPr>
    </w:p>
    <w:tbl>
      <w:tblPr>
        <w:tblStyle w:val="TableGrid"/>
        <w:tblW w:w="9664" w:type="dxa"/>
        <w:tblLook w:val="04A0" w:firstRow="1" w:lastRow="0" w:firstColumn="1" w:lastColumn="0" w:noHBand="0" w:noVBand="1"/>
      </w:tblPr>
      <w:tblGrid>
        <w:gridCol w:w="463"/>
        <w:gridCol w:w="7421"/>
        <w:gridCol w:w="838"/>
        <w:gridCol w:w="942"/>
      </w:tblGrid>
      <w:tr w:rsidR="00DB1130" w:rsidRPr="00DB1130" w14:paraId="75E2ED18" w14:textId="77777777" w:rsidTr="00DB1130">
        <w:trPr>
          <w:trHeight w:val="456"/>
        </w:trPr>
        <w:tc>
          <w:tcPr>
            <w:tcW w:w="463" w:type="dxa"/>
          </w:tcPr>
          <w:p w14:paraId="16162D48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21" w:type="dxa"/>
          </w:tcPr>
          <w:p w14:paraId="6BD3D0EF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</w:tcPr>
          <w:p w14:paraId="3803605A" w14:textId="77777777" w:rsidR="00DB1130" w:rsidRPr="00DB1130" w:rsidRDefault="00DB1130" w:rsidP="00DB1130">
            <w:pPr>
              <w:rPr>
                <w:rFonts w:ascii="Arial" w:eastAsiaTheme="majorEastAsia" w:hAnsi="Arial" w:cs="Arial"/>
                <w:b/>
                <w:bCs/>
                <w:sz w:val="22"/>
                <w:szCs w:val="22"/>
                <w:lang w:val="da-DK" w:eastAsia="en-US"/>
              </w:rPr>
            </w:pPr>
            <w:r w:rsidRPr="00DB1130">
              <w:rPr>
                <w:rFonts w:ascii="Arial" w:eastAsiaTheme="majorEastAsia" w:hAnsi="Arial" w:cs="Arial"/>
                <w:b/>
                <w:bCs/>
                <w:sz w:val="22"/>
                <w:szCs w:val="22"/>
                <w:lang w:val="da-DK" w:eastAsia="en-US"/>
              </w:rPr>
              <w:t>TRUE</w:t>
            </w:r>
          </w:p>
        </w:tc>
        <w:tc>
          <w:tcPr>
            <w:tcW w:w="942" w:type="dxa"/>
          </w:tcPr>
          <w:p w14:paraId="74943C87" w14:textId="77777777" w:rsidR="00DB1130" w:rsidRPr="00DB1130" w:rsidRDefault="00DB1130" w:rsidP="00DB1130">
            <w:pPr>
              <w:rPr>
                <w:rFonts w:ascii="Arial" w:eastAsiaTheme="majorEastAsia" w:hAnsi="Arial" w:cs="Arial"/>
                <w:b/>
                <w:bCs/>
                <w:sz w:val="22"/>
                <w:szCs w:val="22"/>
                <w:lang w:val="da-DK" w:eastAsia="en-US"/>
              </w:rPr>
            </w:pPr>
            <w:r w:rsidRPr="00DB1130">
              <w:rPr>
                <w:rFonts w:ascii="Arial" w:eastAsiaTheme="majorEastAsia" w:hAnsi="Arial" w:cs="Arial"/>
                <w:b/>
                <w:bCs/>
                <w:sz w:val="22"/>
                <w:szCs w:val="22"/>
                <w:lang w:val="da-DK" w:eastAsia="en-US"/>
              </w:rPr>
              <w:t>FALSE</w:t>
            </w:r>
          </w:p>
        </w:tc>
      </w:tr>
      <w:tr w:rsidR="00DB1130" w:rsidRPr="00DB1130" w14:paraId="02D2B6ED" w14:textId="77777777" w:rsidTr="00DB1130">
        <w:trPr>
          <w:trHeight w:val="485"/>
        </w:trPr>
        <w:tc>
          <w:tcPr>
            <w:tcW w:w="463" w:type="dxa"/>
          </w:tcPr>
          <w:p w14:paraId="1DAE9AD8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21" w:type="dxa"/>
          </w:tcPr>
          <w:p w14:paraId="4E772450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Most </w:t>
            </w:r>
            <w:proofErr w:type="spellStart"/>
            <w:r w:rsidRPr="00DB1130">
              <w:rPr>
                <w:rFonts w:ascii="Arial" w:eastAsiaTheme="majorEastAsia" w:hAnsi="Arial" w:cs="Arial"/>
                <w:i/>
                <w:iCs/>
                <w:sz w:val="22"/>
                <w:szCs w:val="22"/>
                <w:lang w:eastAsia="en-US"/>
              </w:rPr>
              <w:t>Brexlit</w:t>
            </w:r>
            <w:proofErr w:type="spellEnd"/>
            <w:r w:rsidRPr="00DB1130">
              <w:rPr>
                <w:rFonts w:ascii="Arial" w:eastAsiaTheme="majorEastAsia" w:hAnsi="Arial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was written before the referendum</w:t>
            </w:r>
          </w:p>
        </w:tc>
        <w:tc>
          <w:tcPr>
            <w:tcW w:w="838" w:type="dxa"/>
          </w:tcPr>
          <w:p w14:paraId="4BB8F4B7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119100A7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DB1130" w:rsidRPr="00DB1130" w14:paraId="3A8F34B7" w14:textId="77777777" w:rsidTr="00DB1130">
        <w:trPr>
          <w:trHeight w:val="456"/>
        </w:trPr>
        <w:tc>
          <w:tcPr>
            <w:tcW w:w="463" w:type="dxa"/>
          </w:tcPr>
          <w:p w14:paraId="68C054AC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21" w:type="dxa"/>
          </w:tcPr>
          <w:p w14:paraId="357D3BA1" w14:textId="4BB8E450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The concern of the Brexit debate is simply politics and the economy</w:t>
            </w:r>
          </w:p>
        </w:tc>
        <w:tc>
          <w:tcPr>
            <w:tcW w:w="838" w:type="dxa"/>
          </w:tcPr>
          <w:p w14:paraId="2065649C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6CD17555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350B9B" w:rsidRPr="00DB1130" w14:paraId="493A217F" w14:textId="77777777" w:rsidTr="00DB1130">
        <w:trPr>
          <w:trHeight w:val="456"/>
        </w:trPr>
        <w:tc>
          <w:tcPr>
            <w:tcW w:w="463" w:type="dxa"/>
          </w:tcPr>
          <w:p w14:paraId="192365BE" w14:textId="5623DDED" w:rsidR="00350B9B" w:rsidRPr="00DB1130" w:rsidRDefault="00350B9B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21" w:type="dxa"/>
          </w:tcPr>
          <w:p w14:paraId="7E02E464" w14:textId="26A56ECC" w:rsidR="00350B9B" w:rsidRPr="00DB1130" w:rsidRDefault="00350B9B" w:rsidP="00350B9B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350B9B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The result of the referendum has drawn attention to the disparity in the UK</w:t>
            </w:r>
          </w:p>
        </w:tc>
        <w:tc>
          <w:tcPr>
            <w:tcW w:w="838" w:type="dxa"/>
          </w:tcPr>
          <w:p w14:paraId="5000BD46" w14:textId="77777777" w:rsidR="00350B9B" w:rsidRPr="00DB1130" w:rsidRDefault="00350B9B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476A0477" w14:textId="77777777" w:rsidR="00350B9B" w:rsidRPr="00DB1130" w:rsidRDefault="00350B9B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DB1130" w:rsidRPr="00DB1130" w14:paraId="0C52FECC" w14:textId="77777777" w:rsidTr="00DB1130">
        <w:trPr>
          <w:trHeight w:val="456"/>
        </w:trPr>
        <w:tc>
          <w:tcPr>
            <w:tcW w:w="463" w:type="dxa"/>
          </w:tcPr>
          <w:p w14:paraId="291B44B2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21" w:type="dxa"/>
          </w:tcPr>
          <w:p w14:paraId="16272142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Literature makes an important contribution to the Brexit debate </w:t>
            </w:r>
          </w:p>
        </w:tc>
        <w:tc>
          <w:tcPr>
            <w:tcW w:w="838" w:type="dxa"/>
          </w:tcPr>
          <w:p w14:paraId="76339280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33883B2D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DB1130" w:rsidRPr="00DB1130" w14:paraId="256396EC" w14:textId="77777777" w:rsidTr="00DB1130">
        <w:trPr>
          <w:trHeight w:val="456"/>
        </w:trPr>
        <w:tc>
          <w:tcPr>
            <w:tcW w:w="463" w:type="dxa"/>
          </w:tcPr>
          <w:p w14:paraId="67059C97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21" w:type="dxa"/>
          </w:tcPr>
          <w:p w14:paraId="5D554DCE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Britain has a history of social equality</w:t>
            </w:r>
          </w:p>
        </w:tc>
        <w:tc>
          <w:tcPr>
            <w:tcW w:w="838" w:type="dxa"/>
          </w:tcPr>
          <w:p w14:paraId="2C96C8D4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2FA3438F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DB1130" w:rsidRPr="00DB1130" w14:paraId="288FBCB5" w14:textId="77777777" w:rsidTr="00DB1130">
        <w:trPr>
          <w:trHeight w:val="485"/>
        </w:trPr>
        <w:tc>
          <w:tcPr>
            <w:tcW w:w="463" w:type="dxa"/>
          </w:tcPr>
          <w:p w14:paraId="78A1AAA1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21" w:type="dxa"/>
          </w:tcPr>
          <w:p w14:paraId="6D1BECF4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The British Empire was the second largest empire in history</w:t>
            </w:r>
          </w:p>
        </w:tc>
        <w:tc>
          <w:tcPr>
            <w:tcW w:w="838" w:type="dxa"/>
          </w:tcPr>
          <w:p w14:paraId="635E4041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31D3E1F2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DB1130" w:rsidRPr="00DB1130" w14:paraId="572E6832" w14:textId="77777777" w:rsidTr="00DB1130">
        <w:trPr>
          <w:trHeight w:val="456"/>
        </w:trPr>
        <w:tc>
          <w:tcPr>
            <w:tcW w:w="463" w:type="dxa"/>
          </w:tcPr>
          <w:p w14:paraId="2D4743A5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421" w:type="dxa"/>
          </w:tcPr>
          <w:p w14:paraId="21FAED41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Many Remain voters live in former industrial areas</w:t>
            </w:r>
          </w:p>
        </w:tc>
        <w:tc>
          <w:tcPr>
            <w:tcW w:w="838" w:type="dxa"/>
          </w:tcPr>
          <w:p w14:paraId="326CA810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0D78324D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DB1130" w:rsidRPr="00DB1130" w14:paraId="7E72CB88" w14:textId="77777777" w:rsidTr="00DB1130">
        <w:trPr>
          <w:trHeight w:val="485"/>
        </w:trPr>
        <w:tc>
          <w:tcPr>
            <w:tcW w:w="463" w:type="dxa"/>
          </w:tcPr>
          <w:p w14:paraId="2A603728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421" w:type="dxa"/>
          </w:tcPr>
          <w:p w14:paraId="4830D013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Many Leave voters feel </w:t>
            </w:r>
            <w:proofErr w:type="spellStart"/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marginalised</w:t>
            </w:r>
            <w:proofErr w:type="spellEnd"/>
          </w:p>
        </w:tc>
        <w:tc>
          <w:tcPr>
            <w:tcW w:w="838" w:type="dxa"/>
          </w:tcPr>
          <w:p w14:paraId="13AB3AE0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2AFE7247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DB1130" w:rsidRPr="00DB1130" w14:paraId="5773AC45" w14:textId="77777777" w:rsidTr="00DB1130">
        <w:trPr>
          <w:trHeight w:val="456"/>
        </w:trPr>
        <w:tc>
          <w:tcPr>
            <w:tcW w:w="463" w:type="dxa"/>
          </w:tcPr>
          <w:p w14:paraId="14F71406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421" w:type="dxa"/>
          </w:tcPr>
          <w:p w14:paraId="65C7E825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Generational guilt is a common </w:t>
            </w:r>
            <w:proofErr w:type="spellStart"/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Brexlit</w:t>
            </w:r>
            <w:proofErr w:type="spellEnd"/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 theme</w:t>
            </w:r>
          </w:p>
        </w:tc>
        <w:tc>
          <w:tcPr>
            <w:tcW w:w="838" w:type="dxa"/>
          </w:tcPr>
          <w:p w14:paraId="4121B599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45408679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DB1130" w:rsidRPr="00DB1130" w14:paraId="4DF896C7" w14:textId="77777777" w:rsidTr="00DB1130">
        <w:trPr>
          <w:trHeight w:val="485"/>
        </w:trPr>
        <w:tc>
          <w:tcPr>
            <w:tcW w:w="463" w:type="dxa"/>
          </w:tcPr>
          <w:p w14:paraId="0BA4A484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21" w:type="dxa"/>
          </w:tcPr>
          <w:p w14:paraId="46482070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The man who coined the term </w:t>
            </w:r>
            <w:r w:rsidRPr="00DB1130">
              <w:rPr>
                <w:rFonts w:ascii="Arial" w:eastAsiaTheme="majorEastAsia" w:hAnsi="Arial" w:cs="Arial"/>
                <w:i/>
                <w:iCs/>
                <w:sz w:val="22"/>
                <w:szCs w:val="22"/>
                <w:lang w:eastAsia="en-US"/>
              </w:rPr>
              <w:t>Brexit</w:t>
            </w: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 later regretted it</w:t>
            </w:r>
          </w:p>
        </w:tc>
        <w:tc>
          <w:tcPr>
            <w:tcW w:w="838" w:type="dxa"/>
          </w:tcPr>
          <w:p w14:paraId="58114346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294EC56C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DB1130" w:rsidRPr="00DB1130" w14:paraId="37FF0CB6" w14:textId="77777777" w:rsidTr="00DB1130">
        <w:trPr>
          <w:trHeight w:val="456"/>
        </w:trPr>
        <w:tc>
          <w:tcPr>
            <w:tcW w:w="463" w:type="dxa"/>
          </w:tcPr>
          <w:p w14:paraId="54BD2243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421" w:type="dxa"/>
          </w:tcPr>
          <w:p w14:paraId="76D85999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The Remain campaign made good use of powerful slogans</w:t>
            </w:r>
          </w:p>
        </w:tc>
        <w:tc>
          <w:tcPr>
            <w:tcW w:w="838" w:type="dxa"/>
          </w:tcPr>
          <w:p w14:paraId="64F24D0C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3E82B8F9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DB1130" w:rsidRPr="00DB1130" w14:paraId="254F395C" w14:textId="77777777" w:rsidTr="00DB1130">
        <w:trPr>
          <w:trHeight w:val="485"/>
        </w:trPr>
        <w:tc>
          <w:tcPr>
            <w:tcW w:w="463" w:type="dxa"/>
          </w:tcPr>
          <w:p w14:paraId="4E977D4E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421" w:type="dxa"/>
          </w:tcPr>
          <w:p w14:paraId="24AEF55A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Divorce is a common metaphor in </w:t>
            </w:r>
            <w:proofErr w:type="spellStart"/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Brexlit</w:t>
            </w:r>
            <w:proofErr w:type="spellEnd"/>
          </w:p>
        </w:tc>
        <w:tc>
          <w:tcPr>
            <w:tcW w:w="838" w:type="dxa"/>
          </w:tcPr>
          <w:p w14:paraId="67073344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1A46B30A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DB1130" w:rsidRPr="00DB1130" w14:paraId="4BB11DC1" w14:textId="77777777" w:rsidTr="00DB1130">
        <w:trPr>
          <w:trHeight w:val="456"/>
        </w:trPr>
        <w:tc>
          <w:tcPr>
            <w:tcW w:w="463" w:type="dxa"/>
          </w:tcPr>
          <w:p w14:paraId="6B585722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421" w:type="dxa"/>
          </w:tcPr>
          <w:p w14:paraId="3713B5F4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The ‘speculative’ </w:t>
            </w:r>
            <w:proofErr w:type="spellStart"/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Brexlit</w:t>
            </w:r>
            <w:proofErr w:type="spellEnd"/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 genre often takes the form of dystopia</w:t>
            </w:r>
          </w:p>
        </w:tc>
        <w:tc>
          <w:tcPr>
            <w:tcW w:w="838" w:type="dxa"/>
          </w:tcPr>
          <w:p w14:paraId="0A381C33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259E79BD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DB1130" w:rsidRPr="00DB1130" w14:paraId="25FEA6ED" w14:textId="77777777" w:rsidTr="00DB1130">
        <w:trPr>
          <w:trHeight w:val="456"/>
        </w:trPr>
        <w:tc>
          <w:tcPr>
            <w:tcW w:w="463" w:type="dxa"/>
          </w:tcPr>
          <w:p w14:paraId="64CF43A3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421" w:type="dxa"/>
          </w:tcPr>
          <w:p w14:paraId="7E62ABD6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Satire is not suitable for a serious matter such as Brexit</w:t>
            </w:r>
          </w:p>
        </w:tc>
        <w:tc>
          <w:tcPr>
            <w:tcW w:w="838" w:type="dxa"/>
          </w:tcPr>
          <w:p w14:paraId="2A6738F7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550117E6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DB1130" w:rsidRPr="00DB1130" w14:paraId="3D38A67D" w14:textId="77777777" w:rsidTr="00DB1130">
        <w:trPr>
          <w:trHeight w:val="485"/>
        </w:trPr>
        <w:tc>
          <w:tcPr>
            <w:tcW w:w="463" w:type="dxa"/>
          </w:tcPr>
          <w:p w14:paraId="355699CE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421" w:type="dxa"/>
          </w:tcPr>
          <w:p w14:paraId="56574728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DB1130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Most British people have found the Brexit process long and confusing</w:t>
            </w:r>
          </w:p>
        </w:tc>
        <w:tc>
          <w:tcPr>
            <w:tcW w:w="838" w:type="dxa"/>
          </w:tcPr>
          <w:p w14:paraId="6D51A2C5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6FDE4637" w14:textId="77777777" w:rsidR="00DB1130" w:rsidRPr="00DB1130" w:rsidRDefault="00DB1130" w:rsidP="00DB1130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</w:tbl>
    <w:p w14:paraId="6F3C842B" w14:textId="77777777" w:rsidR="00C33D61" w:rsidRPr="00C33D61" w:rsidRDefault="00C33D61">
      <w:pPr>
        <w:rPr>
          <w:rFonts w:ascii="Arial" w:eastAsiaTheme="majorEastAsia" w:hAnsi="Arial" w:cs="Arial"/>
          <w:sz w:val="22"/>
          <w:szCs w:val="22"/>
          <w:lang w:eastAsia="en-US"/>
        </w:rPr>
      </w:pPr>
      <w:bookmarkStart w:id="0" w:name="_GoBack"/>
      <w:bookmarkEnd w:id="0"/>
    </w:p>
    <w:sectPr w:rsidR="00C33D61" w:rsidRPr="00C33D61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CFCBB" w14:textId="77777777" w:rsidR="005008E4" w:rsidRDefault="005008E4" w:rsidP="00EB2F7C">
      <w:r>
        <w:separator/>
      </w:r>
    </w:p>
  </w:endnote>
  <w:endnote w:type="continuationSeparator" w:id="0">
    <w:p w14:paraId="4F17736B" w14:textId="77777777" w:rsidR="005008E4" w:rsidRDefault="005008E4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38021" w14:textId="77777777" w:rsidR="005008E4" w:rsidRDefault="005008E4" w:rsidP="00EB2F7C">
      <w:r>
        <w:separator/>
      </w:r>
    </w:p>
  </w:footnote>
  <w:footnote w:type="continuationSeparator" w:id="0">
    <w:p w14:paraId="29DBA4E5" w14:textId="77777777" w:rsidR="005008E4" w:rsidRDefault="005008E4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F1559"/>
    <w:rsid w:val="00205B3B"/>
    <w:rsid w:val="00251EBF"/>
    <w:rsid w:val="002E6772"/>
    <w:rsid w:val="00350B9B"/>
    <w:rsid w:val="005008E4"/>
    <w:rsid w:val="005653C6"/>
    <w:rsid w:val="005A0382"/>
    <w:rsid w:val="005C2C5B"/>
    <w:rsid w:val="0062388A"/>
    <w:rsid w:val="00785AF4"/>
    <w:rsid w:val="00917585"/>
    <w:rsid w:val="00A05659"/>
    <w:rsid w:val="00A42BED"/>
    <w:rsid w:val="00A77AB2"/>
    <w:rsid w:val="00C33D61"/>
    <w:rsid w:val="00C834A8"/>
    <w:rsid w:val="00D813CD"/>
    <w:rsid w:val="00DB1130"/>
    <w:rsid w:val="00EB2F7C"/>
    <w:rsid w:val="00ED17BA"/>
    <w:rsid w:val="00EE167E"/>
    <w:rsid w:val="00F2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2023-12-10T12:37:00Z</dcterms:created>
  <dcterms:modified xsi:type="dcterms:W3CDTF">2023-12-12T11:14:00Z</dcterms:modified>
</cp:coreProperties>
</file>