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86" w:rsidRPr="00D42686" w:rsidRDefault="00D42686" w:rsidP="00D42686">
      <w:pPr>
        <w:jc w:val="center"/>
        <w:rPr>
          <w:b/>
          <w:sz w:val="32"/>
          <w:szCs w:val="32"/>
        </w:rPr>
      </w:pPr>
      <w:bookmarkStart w:id="0" w:name="_Toc304232332"/>
      <w:proofErr w:type="spellStart"/>
      <w:r w:rsidRPr="00D42686">
        <w:rPr>
          <w:b/>
          <w:sz w:val="32"/>
          <w:szCs w:val="32"/>
        </w:rPr>
        <w:t>Metock</w:t>
      </w:r>
      <w:proofErr w:type="spellEnd"/>
      <w:r w:rsidRPr="00D42686">
        <w:rPr>
          <w:b/>
          <w:sz w:val="32"/>
          <w:szCs w:val="32"/>
        </w:rPr>
        <w:t>, EU</w:t>
      </w:r>
      <w:bookmarkEnd w:id="0"/>
      <w:r w:rsidRPr="00D42686">
        <w:rPr>
          <w:b/>
          <w:sz w:val="32"/>
          <w:szCs w:val="32"/>
        </w:rPr>
        <w:t xml:space="preserve"> og de politiske partier</w:t>
      </w:r>
    </w:p>
    <w:p w:rsidR="00D42686" w:rsidRPr="00795DE0" w:rsidRDefault="00D42686" w:rsidP="00D42686">
      <w:r>
        <w:t xml:space="preserve">Dette emne forsøger at belyse integrationsemnet fra en mere international synsvinkel. Med udgangspunkt i dette emne, er det muligt at beskæftige sig med EU og det internationale samfund – herunder hvilke muligheder og begrænsninger Danmark har i forhold til at præge det internationale/regionale samarbejde. Samtidig er der i forløbet fokuseret på danskernes holdning til EU (og </w:t>
      </w:r>
      <w:proofErr w:type="spellStart"/>
      <w:r>
        <w:t>Metock-dommen</w:t>
      </w:r>
      <w:proofErr w:type="spellEnd"/>
      <w:r>
        <w:t>)</w:t>
      </w:r>
    </w:p>
    <w:tbl>
      <w:tblPr>
        <w:tblStyle w:val="Tabel-Gitter"/>
        <w:tblW w:w="9889" w:type="dxa"/>
        <w:tblLook w:val="04A0"/>
      </w:tblPr>
      <w:tblGrid>
        <w:gridCol w:w="7338"/>
        <w:gridCol w:w="2551"/>
      </w:tblGrid>
      <w:tr w:rsidR="00D42686" w:rsidTr="00A74072">
        <w:tc>
          <w:tcPr>
            <w:tcW w:w="733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42686" w:rsidRDefault="00D42686" w:rsidP="004E46C9">
            <w:r>
              <w:t>Læsestof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42686" w:rsidRDefault="00D42686" w:rsidP="004E46C9">
            <w:r>
              <w:t>Faglige fokuspunkter</w:t>
            </w:r>
          </w:p>
        </w:tc>
      </w:tr>
      <w:tr w:rsidR="00D42686" w:rsidTr="00A74072">
        <w:tc>
          <w:tcPr>
            <w:tcW w:w="7338" w:type="dxa"/>
            <w:shd w:val="clear" w:color="auto" w:fill="E36C0A" w:themeFill="accent6" w:themeFillShade="BF"/>
          </w:tcPr>
          <w:p w:rsidR="00D42686" w:rsidRPr="00D42686" w:rsidRDefault="00D42686" w:rsidP="00D42686">
            <w:pPr>
              <w:tabs>
                <w:tab w:val="left" w:pos="4170"/>
              </w:tabs>
              <w:rPr>
                <w:b/>
              </w:rPr>
            </w:pPr>
            <w:r w:rsidRPr="00D42686">
              <w:rPr>
                <w:b/>
              </w:rPr>
              <w:t>Intro – integration og de politiske partier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:rsidR="00D42686" w:rsidRDefault="00D42686" w:rsidP="004E46C9"/>
        </w:tc>
      </w:tr>
      <w:tr w:rsidR="00D42686" w:rsidTr="00D42686">
        <w:tc>
          <w:tcPr>
            <w:tcW w:w="7338" w:type="dxa"/>
          </w:tcPr>
          <w:p w:rsidR="00D42686" w:rsidRDefault="00D42686" w:rsidP="00D42686">
            <w:pPr>
              <w:tabs>
                <w:tab w:val="left" w:pos="4170"/>
              </w:tabs>
            </w:pPr>
            <w:r>
              <w:t>Grundbog: ”Ærkedansker…” side 18-29</w:t>
            </w:r>
          </w:p>
        </w:tc>
        <w:tc>
          <w:tcPr>
            <w:tcW w:w="2551" w:type="dxa"/>
          </w:tcPr>
          <w:p w:rsidR="00D42686" w:rsidRDefault="00D42686" w:rsidP="004E46C9">
            <w:r>
              <w:t>Fokus på værdipolitik og de politiske partiers holdning til integration</w:t>
            </w:r>
          </w:p>
        </w:tc>
      </w:tr>
      <w:tr w:rsidR="00D42686" w:rsidTr="00D42686">
        <w:tc>
          <w:tcPr>
            <w:tcW w:w="7338" w:type="dxa"/>
          </w:tcPr>
          <w:p w:rsidR="00D42686" w:rsidRDefault="00D42686" w:rsidP="00D42686">
            <w:pPr>
              <w:tabs>
                <w:tab w:val="left" w:pos="4170"/>
              </w:tabs>
            </w:pPr>
            <w:r>
              <w:t>Grundbog: ”Ærkedansker…” side 29-39</w:t>
            </w:r>
          </w:p>
        </w:tc>
        <w:tc>
          <w:tcPr>
            <w:tcW w:w="2551" w:type="dxa"/>
          </w:tcPr>
          <w:p w:rsidR="00D42686" w:rsidRDefault="00D42686" w:rsidP="004E46C9">
            <w:r>
              <w:t xml:space="preserve">Intro til diskursanalyse og </w:t>
            </w:r>
            <w:proofErr w:type="spellStart"/>
            <w:r>
              <w:t>DF’s</w:t>
            </w:r>
            <w:proofErr w:type="spellEnd"/>
            <w:r>
              <w:t xml:space="preserve"> italesættelse af integrationspolitik</w:t>
            </w:r>
          </w:p>
        </w:tc>
      </w:tr>
      <w:tr w:rsidR="00D42686" w:rsidTr="00A74072">
        <w:tc>
          <w:tcPr>
            <w:tcW w:w="7338" w:type="dxa"/>
            <w:tcBorders>
              <w:bottom w:val="single" w:sz="4" w:space="0" w:color="auto"/>
            </w:tcBorders>
          </w:tcPr>
          <w:p w:rsidR="00D42686" w:rsidRDefault="00D42686" w:rsidP="00D42686">
            <w:pPr>
              <w:tabs>
                <w:tab w:val="left" w:pos="4170"/>
              </w:tabs>
            </w:pPr>
            <w:r>
              <w:t>Grundbog: ”Ærkedansker…” side 39-44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42686" w:rsidRDefault="00D42686" w:rsidP="004E46C9">
            <w:proofErr w:type="spellStart"/>
            <w:r>
              <w:t>RV’s</w:t>
            </w:r>
            <w:proofErr w:type="spellEnd"/>
            <w:r>
              <w:t xml:space="preserve"> italesættelse af integrationspolitik</w:t>
            </w:r>
          </w:p>
        </w:tc>
      </w:tr>
      <w:tr w:rsidR="00D42686" w:rsidTr="00A74072">
        <w:tc>
          <w:tcPr>
            <w:tcW w:w="7338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42686" w:rsidRPr="00D42686" w:rsidRDefault="00D42686" w:rsidP="00D42686">
            <w:pPr>
              <w:tabs>
                <w:tab w:val="left" w:pos="4170"/>
              </w:tabs>
              <w:rPr>
                <w:b/>
              </w:rPr>
            </w:pPr>
            <w:r w:rsidRPr="00D42686">
              <w:rPr>
                <w:b/>
              </w:rPr>
              <w:t>Intro til EU (hv</w:t>
            </w:r>
            <w:r>
              <w:rPr>
                <w:b/>
              </w:rPr>
              <w:t>is ikke allerede eleverne har et</w:t>
            </w:r>
            <w:r w:rsidRPr="00D42686">
              <w:rPr>
                <w:b/>
              </w:rPr>
              <w:t xml:space="preserve"> grundlæggende kendskab til EU</w:t>
            </w:r>
            <w:r>
              <w:rPr>
                <w:b/>
              </w:rPr>
              <w:t>)</w:t>
            </w:r>
            <w:r w:rsidRPr="00D42686">
              <w:rPr>
                <w:b/>
              </w:rPr>
              <w:tab/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D42686" w:rsidRDefault="00D42686" w:rsidP="004E46C9"/>
        </w:tc>
      </w:tr>
      <w:tr w:rsidR="00D42686" w:rsidTr="00A74072">
        <w:tc>
          <w:tcPr>
            <w:tcW w:w="73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686" w:rsidRDefault="00D42686" w:rsidP="004E46C9"/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42686" w:rsidRDefault="00D42686" w:rsidP="004E46C9"/>
        </w:tc>
      </w:tr>
      <w:tr w:rsidR="00D42686" w:rsidTr="00A74072">
        <w:tc>
          <w:tcPr>
            <w:tcW w:w="7338" w:type="dxa"/>
            <w:shd w:val="clear" w:color="auto" w:fill="E36C0A" w:themeFill="accent6" w:themeFillShade="BF"/>
          </w:tcPr>
          <w:p w:rsidR="00D42686" w:rsidRDefault="00D42686" w:rsidP="004E46C9"/>
          <w:p w:rsidR="00D42686" w:rsidRPr="00D42686" w:rsidRDefault="00D42686" w:rsidP="004E46C9">
            <w:pPr>
              <w:rPr>
                <w:b/>
              </w:rPr>
            </w:pPr>
            <w:r w:rsidRPr="00D42686">
              <w:rPr>
                <w:b/>
              </w:rPr>
              <w:t>EU – immigration og integration</w:t>
            </w:r>
          </w:p>
        </w:tc>
        <w:tc>
          <w:tcPr>
            <w:tcW w:w="2551" w:type="dxa"/>
            <w:shd w:val="clear" w:color="auto" w:fill="E36C0A" w:themeFill="accent6" w:themeFillShade="BF"/>
          </w:tcPr>
          <w:p w:rsidR="00D42686" w:rsidRDefault="00D42686" w:rsidP="004E46C9"/>
        </w:tc>
      </w:tr>
      <w:tr w:rsidR="00D42686" w:rsidTr="00D42686">
        <w:tc>
          <w:tcPr>
            <w:tcW w:w="7338" w:type="dxa"/>
          </w:tcPr>
          <w:p w:rsidR="00D42686" w:rsidRDefault="00D42686" w:rsidP="004E46C9">
            <w:r>
              <w:t xml:space="preserve">Debat om Immigration og integration i EU (Danskernes akademi – en debat mellem Emilie </w:t>
            </w:r>
            <w:proofErr w:type="spellStart"/>
            <w:r>
              <w:t>Turunen</w:t>
            </w:r>
            <w:proofErr w:type="spellEnd"/>
            <w:r>
              <w:t xml:space="preserve"> og Morten </w:t>
            </w:r>
            <w:proofErr w:type="spellStart"/>
            <w:r>
              <w:t>Messersmidt</w:t>
            </w:r>
            <w:proofErr w:type="spellEnd"/>
            <w:r>
              <w:t>)</w:t>
            </w:r>
          </w:p>
          <w:p w:rsidR="00D42686" w:rsidRDefault="00726879" w:rsidP="004E46C9">
            <w:hyperlink r:id="rId6" w:history="1">
              <w:r w:rsidR="00D42686" w:rsidRPr="003B5898">
                <w:rPr>
                  <w:rStyle w:val="Hyperlink"/>
                </w:rPr>
                <w:t>http://www.dr.dk/DR2/Danskernes+akademi/EU/EU-debat/EU_debat_Immigration_og_Integration.htm</w:t>
              </w:r>
            </w:hyperlink>
          </w:p>
          <w:p w:rsidR="00D42686" w:rsidRDefault="00D42686" w:rsidP="004E46C9"/>
        </w:tc>
        <w:tc>
          <w:tcPr>
            <w:tcW w:w="2551" w:type="dxa"/>
          </w:tcPr>
          <w:p w:rsidR="00D42686" w:rsidRDefault="00D42686" w:rsidP="004E46C9">
            <w:r>
              <w:t>Der identificeres problemstillinger med udgangspunkt i den nævnte debat.</w:t>
            </w:r>
          </w:p>
        </w:tc>
      </w:tr>
      <w:tr w:rsidR="00D42686" w:rsidTr="00A74072">
        <w:tc>
          <w:tcPr>
            <w:tcW w:w="7338" w:type="dxa"/>
            <w:tcBorders>
              <w:bottom w:val="single" w:sz="4" w:space="0" w:color="auto"/>
            </w:tcBorders>
          </w:tcPr>
          <w:p w:rsidR="00D42686" w:rsidRDefault="00D42686" w:rsidP="004E46C9">
            <w:r>
              <w:t>Danskernes holdning til integration og EU (Gallup)</w:t>
            </w:r>
          </w:p>
          <w:p w:rsidR="00D42686" w:rsidRDefault="00726879" w:rsidP="004E46C9">
            <w:hyperlink r:id="rId7" w:history="1">
              <w:r w:rsidR="00D42686" w:rsidRPr="003B5898">
                <w:rPr>
                  <w:rStyle w:val="Hyperlink"/>
                </w:rPr>
                <w:t>http://www.gallup.dk/tns_gallup/ugens_gallup/tekst/55871%20-%20Udlændingepolitik%20og%20EU%20regler.pdf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42686" w:rsidRDefault="00D42686" w:rsidP="004E46C9">
            <w:r>
              <w:t>Intro</w:t>
            </w:r>
          </w:p>
        </w:tc>
      </w:tr>
      <w:tr w:rsidR="00D42686" w:rsidTr="00A74072">
        <w:tc>
          <w:tcPr>
            <w:tcW w:w="7338" w:type="dxa"/>
            <w:shd w:val="clear" w:color="auto" w:fill="E36C0A" w:themeFill="accent6" w:themeFillShade="BF"/>
          </w:tcPr>
          <w:p w:rsidR="00D42686" w:rsidRPr="00D42686" w:rsidRDefault="00D42686" w:rsidP="004E46C9">
            <w:pPr>
              <w:rPr>
                <w:b/>
              </w:rPr>
            </w:pPr>
            <w:proofErr w:type="spellStart"/>
            <w:r w:rsidRPr="00D42686">
              <w:rPr>
                <w:b/>
              </w:rPr>
              <w:t>Metock-sagen</w:t>
            </w:r>
            <w:proofErr w:type="spellEnd"/>
          </w:p>
        </w:tc>
        <w:tc>
          <w:tcPr>
            <w:tcW w:w="2551" w:type="dxa"/>
            <w:shd w:val="clear" w:color="auto" w:fill="E36C0A" w:themeFill="accent6" w:themeFillShade="BF"/>
          </w:tcPr>
          <w:p w:rsidR="00D42686" w:rsidRDefault="00D42686" w:rsidP="004E46C9"/>
        </w:tc>
      </w:tr>
      <w:tr w:rsidR="00D42686" w:rsidTr="00D42686">
        <w:tc>
          <w:tcPr>
            <w:tcW w:w="7338" w:type="dxa"/>
          </w:tcPr>
          <w:p w:rsidR="00D42686" w:rsidRDefault="00D42686" w:rsidP="004E46C9">
            <w:r>
              <w:t xml:space="preserve">Hvad er </w:t>
            </w:r>
            <w:proofErr w:type="spellStart"/>
            <w:r>
              <w:t>Metock-sagen</w:t>
            </w:r>
            <w:proofErr w:type="spellEnd"/>
          </w:p>
          <w:p w:rsidR="00D42686" w:rsidRDefault="00726879" w:rsidP="004E46C9">
            <w:hyperlink r:id="rId8" w:history="1">
              <w:r w:rsidR="00D42686" w:rsidRPr="00670441">
                <w:rPr>
                  <w:rStyle w:val="Hyperlink"/>
                </w:rPr>
                <w:t>http://da.wikipedia.org/wiki/Metock-sagen</w:t>
              </w:r>
            </w:hyperlink>
          </w:p>
          <w:p w:rsidR="00D42686" w:rsidRDefault="00D42686" w:rsidP="004E46C9"/>
          <w:p w:rsidR="00D42686" w:rsidRDefault="00D42686" w:rsidP="00D42686">
            <w:proofErr w:type="spellStart"/>
            <w:r>
              <w:t>Metock-dommens</w:t>
            </w:r>
            <w:proofErr w:type="spellEnd"/>
            <w:r>
              <w:t xml:space="preserve"> betydning for dansk lovgivning</w:t>
            </w:r>
          </w:p>
          <w:p w:rsidR="00D42686" w:rsidRDefault="00726879" w:rsidP="00D42686">
            <w:hyperlink r:id="rId9" w:history="1">
              <w:r w:rsidR="00D42686" w:rsidRPr="00670441">
                <w:rPr>
                  <w:rStyle w:val="Hyperlink"/>
                </w:rPr>
                <w:t>http://www.ugebrevet-europa.dk/artikel.asp?AjrDcmntId=713</w:t>
              </w:r>
            </w:hyperlink>
          </w:p>
          <w:p w:rsidR="00D42686" w:rsidRDefault="00D42686" w:rsidP="004E46C9"/>
        </w:tc>
        <w:tc>
          <w:tcPr>
            <w:tcW w:w="2551" w:type="dxa"/>
          </w:tcPr>
          <w:p w:rsidR="00D42686" w:rsidRDefault="00D42686" w:rsidP="004E46C9"/>
        </w:tc>
      </w:tr>
      <w:tr w:rsidR="00D42686" w:rsidTr="00D42686">
        <w:tc>
          <w:tcPr>
            <w:tcW w:w="7338" w:type="dxa"/>
          </w:tcPr>
          <w:p w:rsidR="00D42686" w:rsidRDefault="00D42686" w:rsidP="004E46C9">
            <w:r>
              <w:t xml:space="preserve">Forskellige politiske holdninger til </w:t>
            </w:r>
            <w:proofErr w:type="spellStart"/>
            <w:r>
              <w:t>Metock-sagen</w:t>
            </w:r>
            <w:proofErr w:type="spellEnd"/>
          </w:p>
        </w:tc>
        <w:tc>
          <w:tcPr>
            <w:tcW w:w="2551" w:type="dxa"/>
          </w:tcPr>
          <w:p w:rsidR="00D42686" w:rsidRDefault="00D42686" w:rsidP="004E46C9">
            <w:r>
              <w:t>Matrixgrupper</w:t>
            </w:r>
          </w:p>
        </w:tc>
      </w:tr>
      <w:tr w:rsidR="00D42686" w:rsidTr="00D42686">
        <w:tc>
          <w:tcPr>
            <w:tcW w:w="7338" w:type="dxa"/>
          </w:tcPr>
          <w:p w:rsidR="00D42686" w:rsidRDefault="00D42686" w:rsidP="004E46C9">
            <w:r>
              <w:t xml:space="preserve">Danskernes holdning til </w:t>
            </w:r>
            <w:proofErr w:type="spellStart"/>
            <w:r>
              <w:t>Metock-dommen</w:t>
            </w:r>
            <w:proofErr w:type="spellEnd"/>
            <w:r>
              <w:t xml:space="preserve"> (Gallup)</w:t>
            </w:r>
          </w:p>
          <w:p w:rsidR="00D42686" w:rsidRDefault="00726879" w:rsidP="004E46C9">
            <w:hyperlink r:id="rId10" w:history="1">
              <w:r w:rsidR="00D42686" w:rsidRPr="003B5898">
                <w:rPr>
                  <w:rStyle w:val="Hyperlink"/>
                </w:rPr>
                <w:t>http://www.gallup.dk/tns_gallup/ugens_gallup/tekst/Rapport%20-%20metock-dommen%20og%20EU.pdf</w:t>
              </w:r>
            </w:hyperlink>
          </w:p>
          <w:p w:rsidR="00D42686" w:rsidRDefault="00D42686" w:rsidP="004E46C9"/>
          <w:p w:rsidR="00D42686" w:rsidRDefault="00D42686" w:rsidP="004E46C9"/>
        </w:tc>
        <w:tc>
          <w:tcPr>
            <w:tcW w:w="2551" w:type="dxa"/>
          </w:tcPr>
          <w:p w:rsidR="00D42686" w:rsidRDefault="00D42686" w:rsidP="004E46C9"/>
        </w:tc>
      </w:tr>
    </w:tbl>
    <w:p w:rsidR="00D42686" w:rsidRDefault="00D42686" w:rsidP="00D42686"/>
    <w:p w:rsidR="00D14837" w:rsidRDefault="00D14837"/>
    <w:sectPr w:rsidR="00D14837" w:rsidSect="00D14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45" w:rsidRDefault="007C6145" w:rsidP="00293F07">
      <w:pPr>
        <w:spacing w:after="0" w:line="240" w:lineRule="auto"/>
      </w:pPr>
      <w:r>
        <w:separator/>
      </w:r>
    </w:p>
  </w:endnote>
  <w:endnote w:type="continuationSeparator" w:id="0">
    <w:p w:rsidR="007C6145" w:rsidRDefault="007C6145" w:rsidP="00293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72" w:rsidRDefault="00A74072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72" w:rsidRDefault="00A74072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72" w:rsidRDefault="00A74072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45" w:rsidRDefault="007C6145" w:rsidP="00293F07">
      <w:pPr>
        <w:spacing w:after="0" w:line="240" w:lineRule="auto"/>
      </w:pPr>
      <w:r>
        <w:separator/>
      </w:r>
    </w:p>
  </w:footnote>
  <w:footnote w:type="continuationSeparator" w:id="0">
    <w:p w:rsidR="007C6145" w:rsidRDefault="007C6145" w:rsidP="00293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72" w:rsidRDefault="00A74072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F07" w:rsidRDefault="00A74072">
    <w:pPr>
      <w:pStyle w:val="Sidehoved"/>
    </w:pPr>
    <w:r>
      <w:rPr>
        <w:noProof/>
        <w:lang w:eastAsia="da-DK"/>
      </w:rPr>
      <w:drawing>
        <wp:inline distT="0" distB="0" distL="0" distR="0">
          <wp:extent cx="6120130" cy="650875"/>
          <wp:effectExtent l="19050" t="0" r="0" b="0"/>
          <wp:docPr id="2" name="Billede 1" descr="d49263cd0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49263cd0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50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3F07" w:rsidRDefault="00293F07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72" w:rsidRDefault="00A74072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42686"/>
    <w:rsid w:val="00293F07"/>
    <w:rsid w:val="0051238E"/>
    <w:rsid w:val="00726879"/>
    <w:rsid w:val="007C6145"/>
    <w:rsid w:val="00A74072"/>
    <w:rsid w:val="00A82689"/>
    <w:rsid w:val="00C72178"/>
    <w:rsid w:val="00D14837"/>
    <w:rsid w:val="00D4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686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26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D42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D42686"/>
    <w:rPr>
      <w:color w:val="0000FF" w:themeColor="hyperlink"/>
      <w:u w:val="single"/>
    </w:rPr>
  </w:style>
  <w:style w:type="table" w:styleId="Tabel-Gitter">
    <w:name w:val="Table Grid"/>
    <w:basedOn w:val="Tabel-Normal"/>
    <w:uiPriority w:val="59"/>
    <w:rsid w:val="00D42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293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3F07"/>
  </w:style>
  <w:style w:type="paragraph" w:styleId="Sidefod">
    <w:name w:val="footer"/>
    <w:basedOn w:val="Normal"/>
    <w:link w:val="SidefodTegn"/>
    <w:uiPriority w:val="99"/>
    <w:semiHidden/>
    <w:unhideWhenUsed/>
    <w:rsid w:val="00293F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293F0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3F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.wikipedia.org/wiki/Metock-sag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allup.dk/tns_gallup/ugens_gallup/tekst/55871%20-%20Udl&#230;ndingepolitik%20og%20EU%20regler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dr.dk/DR2/Danskernes+akademi/EU/EU-debat/EU_debat_Immigration_og_Integration.ht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gallup.dk/tns_gallup/ugens_gallup/tekst/Rapport%20-%20metock-dommen%20og%20EU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gebrevet-europa.dk/artikel.asp?AjrDcmntId=713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2011-11-16T21:13:00Z</dcterms:created>
  <dcterms:modified xsi:type="dcterms:W3CDTF">2011-12-10T20:13:00Z</dcterms:modified>
</cp:coreProperties>
</file>